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F01" w:rsidRPr="00961E70" w:rsidRDefault="00954135" w:rsidP="00E74F01">
      <w:pPr>
        <w:spacing w:after="160" w:line="259" w:lineRule="auto"/>
        <w:ind w:left="0" w:firstLine="0"/>
        <w:jc w:val="left"/>
        <w:rPr>
          <w:rFonts w:asciiTheme="minorHAnsi" w:eastAsiaTheme="minorHAnsi" w:hAnsiTheme="minorHAnsi" w:cstheme="minorBidi"/>
          <w:b/>
          <w:color w:val="auto"/>
          <w:sz w:val="56"/>
          <w:szCs w:val="56"/>
          <w:lang w:eastAsia="en-US"/>
        </w:rPr>
      </w:pPr>
      <w:r>
        <w:rPr>
          <w:rFonts w:asciiTheme="minorHAnsi" w:eastAsiaTheme="minorHAnsi" w:hAnsiTheme="minorHAnsi" w:cstheme="minorBidi"/>
          <w:b/>
          <w:noProof/>
          <w:color w:val="auto"/>
          <w:sz w:val="56"/>
          <w:szCs w:val="56"/>
        </w:rPr>
        <w:drawing>
          <wp:inline distT="0" distB="0" distL="0" distR="0" wp14:anchorId="19365829" wp14:editId="54E0E68C">
            <wp:extent cx="2753417" cy="10533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MC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5048" cy="1065492"/>
                    </a:xfrm>
                    <a:prstGeom prst="rect">
                      <a:avLst/>
                    </a:prstGeom>
                  </pic:spPr>
                </pic:pic>
              </a:graphicData>
            </a:graphic>
          </wp:inline>
        </w:drawing>
      </w:r>
    </w:p>
    <w:p w:rsidR="00E74F01" w:rsidRPr="00961E70" w:rsidRDefault="00E74F01" w:rsidP="00E74F01">
      <w:pPr>
        <w:spacing w:after="160" w:line="259" w:lineRule="auto"/>
        <w:ind w:left="0" w:firstLine="0"/>
        <w:jc w:val="left"/>
        <w:rPr>
          <w:rFonts w:asciiTheme="minorHAnsi" w:eastAsiaTheme="minorHAnsi" w:hAnsiTheme="minorHAnsi" w:cstheme="minorBidi"/>
          <w:b/>
          <w:color w:val="auto"/>
          <w:sz w:val="56"/>
          <w:szCs w:val="56"/>
          <w:lang w:eastAsia="en-US"/>
        </w:rPr>
      </w:pPr>
    </w:p>
    <w:p w:rsidR="00E74F01" w:rsidRPr="00961E70" w:rsidRDefault="00E74F01" w:rsidP="00E74F01">
      <w:pPr>
        <w:spacing w:after="160" w:line="259" w:lineRule="auto"/>
        <w:ind w:left="0" w:firstLine="0"/>
        <w:jc w:val="left"/>
        <w:rPr>
          <w:rFonts w:asciiTheme="minorHAnsi" w:eastAsiaTheme="minorHAnsi" w:hAnsiTheme="minorHAnsi" w:cstheme="minorBidi"/>
          <w:b/>
          <w:color w:val="auto"/>
          <w:sz w:val="56"/>
          <w:szCs w:val="56"/>
          <w:lang w:eastAsia="en-US"/>
        </w:rPr>
      </w:pPr>
    </w:p>
    <w:p w:rsidR="00E74F01" w:rsidRPr="00961E70" w:rsidRDefault="00E74F01" w:rsidP="00E74F01">
      <w:pPr>
        <w:jc w:val="right"/>
        <w:rPr>
          <w:b/>
          <w:sz w:val="56"/>
          <w:szCs w:val="56"/>
        </w:rPr>
      </w:pPr>
      <w:r w:rsidRPr="00961E70">
        <w:rPr>
          <w:rFonts w:cs="Gotham-Black"/>
          <w:noProof/>
          <w:sz w:val="26"/>
          <w:szCs w:val="26"/>
        </w:rPr>
        <w:drawing>
          <wp:anchor distT="0" distB="0" distL="114300" distR="114300" simplePos="0" relativeHeight="251659264" behindDoc="0" locked="0" layoutInCell="1" allowOverlap="1" wp14:anchorId="6213FC5B" wp14:editId="33C5077A">
            <wp:simplePos x="0" y="0"/>
            <wp:positionH relativeFrom="margin">
              <wp:posOffset>4197502</wp:posOffset>
            </wp:positionH>
            <wp:positionV relativeFrom="paragraph">
              <wp:posOffset>91800</wp:posOffset>
            </wp:positionV>
            <wp:extent cx="1971727" cy="1445216"/>
            <wp:effectExtent l="0" t="0" r="0"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nhomme-bleu.jpg"/>
                    <pic:cNvPicPr/>
                  </pic:nvPicPr>
                  <pic:blipFill>
                    <a:blip r:embed="rId9">
                      <a:extLst>
                        <a:ext uri="{28A0092B-C50C-407E-A947-70E740481C1C}">
                          <a14:useLocalDpi xmlns:a14="http://schemas.microsoft.com/office/drawing/2010/main" val="0"/>
                        </a:ext>
                      </a:extLst>
                    </a:blip>
                    <a:stretch>
                      <a:fillRect/>
                    </a:stretch>
                  </pic:blipFill>
                  <pic:spPr>
                    <a:xfrm>
                      <a:off x="0" y="0"/>
                      <a:ext cx="1971727" cy="1445216"/>
                    </a:xfrm>
                    <a:prstGeom prst="rect">
                      <a:avLst/>
                    </a:prstGeom>
                  </pic:spPr>
                </pic:pic>
              </a:graphicData>
            </a:graphic>
            <wp14:sizeRelH relativeFrom="margin">
              <wp14:pctWidth>0</wp14:pctWidth>
            </wp14:sizeRelH>
            <wp14:sizeRelV relativeFrom="margin">
              <wp14:pctHeight>0</wp14:pctHeight>
            </wp14:sizeRelV>
          </wp:anchor>
        </w:drawing>
      </w:r>
    </w:p>
    <w:p w:rsidR="00E74F01" w:rsidRPr="00961E70" w:rsidRDefault="00E74F01" w:rsidP="00E74F01">
      <w:pPr>
        <w:jc w:val="right"/>
        <w:rPr>
          <w:b/>
          <w:sz w:val="56"/>
          <w:szCs w:val="56"/>
        </w:rPr>
      </w:pPr>
    </w:p>
    <w:p w:rsidR="00E74F01" w:rsidRPr="00961E70" w:rsidRDefault="00E74F01" w:rsidP="00E74F01">
      <w:pPr>
        <w:jc w:val="right"/>
        <w:rPr>
          <w:b/>
          <w:sz w:val="56"/>
          <w:szCs w:val="56"/>
        </w:rPr>
      </w:pPr>
    </w:p>
    <w:p w:rsidR="00E74F01" w:rsidRPr="00961E70" w:rsidRDefault="00E74F01" w:rsidP="00E74F01">
      <w:pPr>
        <w:jc w:val="right"/>
        <w:rPr>
          <w:b/>
          <w:sz w:val="52"/>
          <w:szCs w:val="56"/>
        </w:rPr>
      </w:pPr>
    </w:p>
    <w:p w:rsidR="00E74F01" w:rsidRPr="00954135" w:rsidRDefault="00E74F01" w:rsidP="00954135">
      <w:pPr>
        <w:spacing w:after="160" w:line="259" w:lineRule="auto"/>
        <w:ind w:left="0" w:firstLine="0"/>
        <w:jc w:val="right"/>
        <w:rPr>
          <w:rFonts w:asciiTheme="minorHAnsi" w:eastAsiaTheme="minorHAnsi" w:hAnsiTheme="minorHAnsi" w:cstheme="minorBidi"/>
          <w:b/>
          <w:i/>
          <w:color w:val="auto"/>
          <w:sz w:val="44"/>
          <w:szCs w:val="56"/>
          <w:lang w:eastAsia="en-US"/>
        </w:rPr>
      </w:pPr>
      <w:r w:rsidRPr="00961E70">
        <w:rPr>
          <w:rFonts w:asciiTheme="minorHAnsi" w:eastAsiaTheme="minorHAnsi" w:hAnsiTheme="minorHAnsi" w:cstheme="minorBidi"/>
          <w:b/>
          <w:color w:val="auto"/>
          <w:sz w:val="52"/>
          <w:szCs w:val="56"/>
          <w:lang w:eastAsia="en-US"/>
        </w:rPr>
        <w:t>Politique de temps supplémentaire</w:t>
      </w:r>
      <w:r w:rsidR="00A93A07" w:rsidRPr="00961E70">
        <w:rPr>
          <w:rFonts w:asciiTheme="minorHAnsi" w:eastAsiaTheme="minorHAnsi" w:hAnsiTheme="minorHAnsi" w:cstheme="minorBidi"/>
          <w:b/>
          <w:color w:val="auto"/>
          <w:sz w:val="52"/>
          <w:szCs w:val="56"/>
          <w:lang w:eastAsia="en-US"/>
        </w:rPr>
        <w:br/>
      </w:r>
      <w:r w:rsidR="0016227F" w:rsidRPr="00961E70">
        <w:rPr>
          <w:rFonts w:asciiTheme="minorHAnsi" w:eastAsiaTheme="minorHAnsi" w:hAnsiTheme="minorHAnsi" w:cstheme="minorBidi"/>
          <w:color w:val="auto"/>
          <w:sz w:val="36"/>
          <w:szCs w:val="32"/>
          <w:lang w:eastAsia="en-US"/>
        </w:rPr>
        <w:t xml:space="preserve">FIQ </w:t>
      </w:r>
      <w:r w:rsidR="0016227F" w:rsidRPr="00961E70">
        <w:rPr>
          <w:rFonts w:asciiTheme="minorHAnsi" w:eastAsiaTheme="minorHAnsi" w:hAnsiTheme="minorHAnsi" w:cstheme="minorBidi"/>
          <w:color w:val="auto"/>
          <w:sz w:val="36"/>
          <w:szCs w:val="32"/>
          <w:lang w:eastAsia="en-US"/>
        </w:rPr>
        <w:noBreakHyphen/>
        <w:t xml:space="preserve"> </w:t>
      </w:r>
      <w:r w:rsidRPr="00961E70">
        <w:rPr>
          <w:rFonts w:asciiTheme="minorHAnsi" w:eastAsiaTheme="minorHAnsi" w:hAnsiTheme="minorHAnsi" w:cstheme="minorBidi"/>
          <w:color w:val="auto"/>
          <w:sz w:val="36"/>
          <w:szCs w:val="32"/>
          <w:lang w:eastAsia="en-US"/>
        </w:rPr>
        <w:t>SYNDICAT DES PROFESSIONNELLES EN SOINS</w:t>
      </w:r>
      <w:r w:rsidRPr="00961E70">
        <w:rPr>
          <w:rFonts w:asciiTheme="minorHAnsi" w:eastAsiaTheme="minorHAnsi" w:hAnsiTheme="minorHAnsi" w:cstheme="minorBidi"/>
          <w:color w:val="auto"/>
          <w:sz w:val="36"/>
          <w:szCs w:val="32"/>
          <w:lang w:eastAsia="en-US"/>
        </w:rPr>
        <w:br/>
        <w:t>DE LA MA</w:t>
      </w:r>
      <w:r w:rsidR="0016227F" w:rsidRPr="00961E70">
        <w:rPr>
          <w:rFonts w:asciiTheme="minorHAnsi" w:eastAsiaTheme="minorHAnsi" w:hAnsiTheme="minorHAnsi" w:cstheme="minorBidi"/>
          <w:color w:val="auto"/>
          <w:sz w:val="36"/>
          <w:szCs w:val="32"/>
          <w:lang w:eastAsia="en-US"/>
        </w:rPr>
        <w:t>URICIE ET CENTRE-DU-QUÉBEC</w:t>
      </w:r>
    </w:p>
    <w:p w:rsidR="00E74F01" w:rsidRPr="00961E70" w:rsidRDefault="00E74F01" w:rsidP="00E74F01">
      <w:pPr>
        <w:autoSpaceDE w:val="0"/>
        <w:autoSpaceDN w:val="0"/>
        <w:adjustRightInd w:val="0"/>
        <w:spacing w:before="120" w:after="0" w:line="240" w:lineRule="auto"/>
        <w:ind w:left="0" w:firstLine="0"/>
        <w:jc w:val="left"/>
        <w:rPr>
          <w:rFonts w:asciiTheme="minorHAnsi" w:eastAsiaTheme="minorHAnsi" w:hAnsiTheme="minorHAnsi" w:cs="Gotham-Black"/>
          <w:color w:val="auto"/>
          <w:sz w:val="26"/>
          <w:szCs w:val="26"/>
          <w:lang w:eastAsia="en-US"/>
        </w:rPr>
      </w:pPr>
    </w:p>
    <w:p w:rsidR="00977F67" w:rsidRPr="00961E70" w:rsidRDefault="00977F67" w:rsidP="00E74F01">
      <w:pPr>
        <w:autoSpaceDE w:val="0"/>
        <w:autoSpaceDN w:val="0"/>
        <w:adjustRightInd w:val="0"/>
        <w:spacing w:before="120" w:after="0" w:line="240" w:lineRule="auto"/>
        <w:ind w:left="0" w:firstLine="0"/>
        <w:jc w:val="left"/>
        <w:rPr>
          <w:rFonts w:asciiTheme="minorHAnsi" w:eastAsiaTheme="minorHAnsi" w:hAnsiTheme="minorHAnsi" w:cs="Gotham-Black"/>
          <w:color w:val="auto"/>
          <w:sz w:val="26"/>
          <w:szCs w:val="26"/>
          <w:lang w:eastAsia="en-US"/>
        </w:rPr>
      </w:pPr>
    </w:p>
    <w:p w:rsidR="00E74F01" w:rsidRPr="00961E70" w:rsidRDefault="00E74F01" w:rsidP="00E74F01">
      <w:pPr>
        <w:autoSpaceDE w:val="0"/>
        <w:autoSpaceDN w:val="0"/>
        <w:adjustRightInd w:val="0"/>
        <w:spacing w:before="120" w:after="0" w:line="240" w:lineRule="auto"/>
        <w:rPr>
          <w:rFonts w:cs="Gotham-Black"/>
          <w:sz w:val="26"/>
          <w:szCs w:val="26"/>
        </w:rPr>
      </w:pPr>
      <w:r w:rsidRPr="00961E70">
        <w:rPr>
          <w:rFonts w:cs="Gotham-Black"/>
          <w:noProof/>
          <w:sz w:val="26"/>
          <w:szCs w:val="26"/>
        </w:rPr>
        <w:drawing>
          <wp:inline distT="0" distB="0" distL="0" distR="0" wp14:anchorId="28BC93AF" wp14:editId="657A7B89">
            <wp:extent cx="5972810" cy="2018665"/>
            <wp:effectExtent l="0" t="0" r="889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se-tete-jigsaw.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2018665"/>
                    </a:xfrm>
                    <a:prstGeom prst="rect">
                      <a:avLst/>
                    </a:prstGeom>
                  </pic:spPr>
                </pic:pic>
              </a:graphicData>
            </a:graphic>
          </wp:inline>
        </w:drawing>
      </w:r>
    </w:p>
    <w:p w:rsidR="00E74F01" w:rsidRPr="00961E70" w:rsidRDefault="00E74F01" w:rsidP="00E74F01">
      <w:pPr>
        <w:autoSpaceDE w:val="0"/>
        <w:autoSpaceDN w:val="0"/>
        <w:adjustRightInd w:val="0"/>
        <w:spacing w:before="120" w:after="0" w:line="240" w:lineRule="auto"/>
        <w:rPr>
          <w:rFonts w:cs="Gotham-Black"/>
          <w:sz w:val="26"/>
          <w:szCs w:val="26"/>
        </w:rPr>
      </w:pPr>
    </w:p>
    <w:p w:rsidR="00A95471" w:rsidRPr="00961E70" w:rsidRDefault="00C3431F" w:rsidP="00A95471">
      <w:pPr>
        <w:spacing w:after="0" w:line="240" w:lineRule="auto"/>
        <w:ind w:left="24" w:firstLine="0"/>
        <w:rPr>
          <w:rFonts w:asciiTheme="minorHAnsi" w:hAnsiTheme="minorHAnsi" w:cs="Gotham-Black"/>
          <w:b/>
          <w:i/>
          <w:sz w:val="18"/>
          <w:szCs w:val="18"/>
        </w:rPr>
        <w:sectPr w:rsidR="00A95471" w:rsidRPr="00961E70" w:rsidSect="00762A31">
          <w:headerReference w:type="default" r:id="rId11"/>
          <w:footerReference w:type="default" r:id="rId12"/>
          <w:pgSz w:w="12240" w:h="15840"/>
          <w:pgMar w:top="1440" w:right="1440" w:bottom="1008" w:left="1440" w:header="706" w:footer="736" w:gutter="0"/>
          <w:pgNumType w:start="1"/>
          <w:cols w:space="708"/>
          <w:titlePg/>
          <w:docGrid w:linePitch="360"/>
        </w:sectPr>
      </w:pPr>
      <w:r>
        <w:rPr>
          <w:rFonts w:asciiTheme="minorHAnsi" w:hAnsiTheme="minorHAnsi" w:cs="Gotham-Black"/>
          <w:b/>
          <w:i/>
          <w:sz w:val="18"/>
          <w:szCs w:val="18"/>
        </w:rPr>
        <w:t>Adopté le 5 septembre 2017</w:t>
      </w:r>
    </w:p>
    <w:p w:rsidR="003F4537" w:rsidRDefault="003F4537" w:rsidP="00B47123">
      <w:pPr>
        <w:spacing w:after="0" w:line="240" w:lineRule="auto"/>
        <w:ind w:left="0" w:firstLine="0"/>
        <w:rPr>
          <w:rFonts w:asciiTheme="minorHAnsi" w:eastAsiaTheme="minorHAnsi" w:hAnsiTheme="minorHAnsi" w:cs="Gotham-Black"/>
          <w:b/>
          <w:color w:val="auto"/>
          <w:sz w:val="26"/>
          <w:szCs w:val="26"/>
          <w:lang w:eastAsia="en-US"/>
        </w:rPr>
      </w:pPr>
      <w:r w:rsidRPr="00961E70">
        <w:rPr>
          <w:rFonts w:asciiTheme="minorHAnsi" w:eastAsiaTheme="minorHAnsi" w:hAnsiTheme="minorHAnsi" w:cs="Gotham-Black"/>
          <w:b/>
          <w:color w:val="auto"/>
          <w:sz w:val="26"/>
          <w:szCs w:val="26"/>
          <w:lang w:eastAsia="en-US"/>
        </w:rPr>
        <w:lastRenderedPageBreak/>
        <w:t>Politique de temps supplémentaire</w:t>
      </w:r>
    </w:p>
    <w:p w:rsidR="00B47123" w:rsidRPr="00B47123" w:rsidRDefault="00B47123" w:rsidP="00B47123">
      <w:pPr>
        <w:spacing w:after="0" w:line="240" w:lineRule="auto"/>
        <w:ind w:left="24" w:firstLine="0"/>
        <w:rPr>
          <w:rFonts w:asciiTheme="minorHAnsi" w:eastAsiaTheme="minorHAnsi" w:hAnsiTheme="minorHAnsi" w:cs="Gotham-Black"/>
          <w:b/>
          <w:color w:val="auto"/>
          <w:sz w:val="26"/>
          <w:szCs w:val="26"/>
          <w:lang w:eastAsia="en-US"/>
        </w:rPr>
      </w:pPr>
    </w:p>
    <w:p w:rsidR="00C46962" w:rsidRPr="00DE1A1C" w:rsidRDefault="00C46962" w:rsidP="00C46962">
      <w:pPr>
        <w:pStyle w:val="Commentaire"/>
        <w:rPr>
          <w:rFonts w:ascii="Calibri" w:hAnsi="Calibri"/>
          <w:sz w:val="22"/>
          <w:szCs w:val="22"/>
        </w:rPr>
      </w:pPr>
      <w:r w:rsidRPr="00DE1A1C">
        <w:rPr>
          <w:rFonts w:ascii="Calibri" w:hAnsi="Calibri"/>
          <w:sz w:val="22"/>
          <w:szCs w:val="22"/>
        </w:rPr>
        <w:t>Cette politique s’applique;</w:t>
      </w:r>
    </w:p>
    <w:p w:rsidR="00C46962" w:rsidRPr="00DE1A1C" w:rsidRDefault="00C46962" w:rsidP="00C46962">
      <w:pPr>
        <w:numPr>
          <w:ilvl w:val="0"/>
          <w:numId w:val="7"/>
        </w:numPr>
        <w:spacing w:after="0" w:line="240" w:lineRule="auto"/>
        <w:ind w:hanging="350"/>
        <w:rPr>
          <w:rFonts w:ascii="Calibri" w:hAnsi="Calibri"/>
          <w:sz w:val="22"/>
        </w:rPr>
      </w:pPr>
      <w:r w:rsidRPr="00DE1A1C">
        <w:rPr>
          <w:rFonts w:ascii="Calibri" w:hAnsi="Calibri"/>
          <w:sz w:val="22"/>
        </w:rPr>
        <w:t>aux membres de l’Exécutif, aux agentes de proximité, ainsi qu’aux représentantes des unités locales;</w:t>
      </w:r>
    </w:p>
    <w:p w:rsidR="00C46962" w:rsidRPr="00DE1A1C" w:rsidRDefault="00C46962" w:rsidP="00C46962">
      <w:pPr>
        <w:numPr>
          <w:ilvl w:val="0"/>
          <w:numId w:val="7"/>
        </w:numPr>
        <w:spacing w:after="0" w:line="240" w:lineRule="auto"/>
        <w:ind w:hanging="350"/>
        <w:rPr>
          <w:rFonts w:ascii="Calibri" w:hAnsi="Calibri"/>
          <w:sz w:val="22"/>
        </w:rPr>
      </w:pPr>
      <w:r w:rsidRPr="00DE1A1C">
        <w:rPr>
          <w:rFonts w:ascii="Calibri" w:hAnsi="Calibri"/>
          <w:sz w:val="22"/>
        </w:rPr>
        <w:t>aux déléguées fraternelles aux instances de la Fédération;</w:t>
      </w:r>
    </w:p>
    <w:p w:rsidR="00C46962" w:rsidRDefault="00C46962" w:rsidP="00C46962">
      <w:pPr>
        <w:numPr>
          <w:ilvl w:val="0"/>
          <w:numId w:val="7"/>
        </w:numPr>
        <w:spacing w:after="0" w:line="240" w:lineRule="auto"/>
        <w:ind w:hanging="350"/>
        <w:rPr>
          <w:rFonts w:ascii="Calibri" w:hAnsi="Calibri"/>
          <w:sz w:val="22"/>
        </w:rPr>
      </w:pPr>
      <w:r w:rsidRPr="00DE1A1C">
        <w:rPr>
          <w:rFonts w:ascii="Calibri" w:hAnsi="Calibri"/>
          <w:sz w:val="22"/>
        </w:rPr>
        <w:t>à toute militante du SPSMCQ après autorisation de la présidente et/ou de la trésorière.</w:t>
      </w:r>
    </w:p>
    <w:p w:rsidR="00B47123" w:rsidRPr="00DE1A1C" w:rsidRDefault="00B47123" w:rsidP="00B47123">
      <w:pPr>
        <w:spacing w:after="0" w:line="240" w:lineRule="auto"/>
        <w:ind w:left="350" w:firstLine="0"/>
        <w:rPr>
          <w:rFonts w:ascii="Calibri" w:hAnsi="Calibri"/>
          <w:sz w:val="22"/>
        </w:rPr>
      </w:pPr>
    </w:p>
    <w:p w:rsidR="00E74F01" w:rsidRPr="00B47123" w:rsidRDefault="00C46962" w:rsidP="00B47123">
      <w:pPr>
        <w:autoSpaceDE w:val="0"/>
        <w:autoSpaceDN w:val="0"/>
        <w:adjustRightInd w:val="0"/>
        <w:spacing w:before="120" w:after="0" w:line="240" w:lineRule="auto"/>
        <w:rPr>
          <w:rFonts w:ascii="Calibri" w:hAnsi="Calibri" w:cs="Gotham-Black"/>
          <w:sz w:val="22"/>
        </w:rPr>
      </w:pPr>
      <w:r w:rsidRPr="00DE1A1C">
        <w:rPr>
          <w:rFonts w:ascii="Calibri" w:hAnsi="Calibri" w:cs="Gotham-Black"/>
          <w:sz w:val="22"/>
        </w:rPr>
        <w:t>Cette politique s’applique lorsque le travail syndical est requis et autorisée par le comité exécutif</w:t>
      </w:r>
    </w:p>
    <w:p w:rsidR="00E8418C" w:rsidRPr="00961E70" w:rsidRDefault="00B803EC" w:rsidP="007D1157">
      <w:pPr>
        <w:numPr>
          <w:ilvl w:val="0"/>
          <w:numId w:val="1"/>
        </w:numPr>
        <w:tabs>
          <w:tab w:val="left" w:pos="720"/>
        </w:tabs>
        <w:spacing w:after="0" w:line="240" w:lineRule="auto"/>
        <w:ind w:left="720" w:hanging="720"/>
        <w:rPr>
          <w:rFonts w:asciiTheme="minorHAnsi" w:hAnsiTheme="minorHAnsi"/>
          <w:sz w:val="22"/>
          <w:szCs w:val="24"/>
        </w:rPr>
      </w:pPr>
      <w:r w:rsidRPr="00961E70">
        <w:rPr>
          <w:rFonts w:asciiTheme="minorHAnsi" w:hAnsiTheme="minorHAnsi"/>
          <w:sz w:val="22"/>
          <w:szCs w:val="24"/>
        </w:rPr>
        <w:t>L’a</w:t>
      </w:r>
      <w:r w:rsidR="00E8418C" w:rsidRPr="00961E70">
        <w:rPr>
          <w:rFonts w:asciiTheme="minorHAnsi" w:hAnsiTheme="minorHAnsi"/>
          <w:sz w:val="22"/>
          <w:szCs w:val="24"/>
        </w:rPr>
        <w:t>ccumulation du temps supplémentaire</w:t>
      </w:r>
      <w:r w:rsidR="00AD01B1" w:rsidRPr="00961E70">
        <w:rPr>
          <w:rFonts w:asciiTheme="minorHAnsi" w:hAnsiTheme="minorHAnsi"/>
          <w:sz w:val="22"/>
          <w:szCs w:val="24"/>
        </w:rPr>
        <w:t xml:space="preserve"> s’effectue</w:t>
      </w:r>
      <w:r w:rsidR="00E8418C" w:rsidRPr="00961E70">
        <w:rPr>
          <w:rFonts w:asciiTheme="minorHAnsi" w:hAnsiTheme="minorHAnsi"/>
          <w:sz w:val="22"/>
          <w:szCs w:val="24"/>
        </w:rPr>
        <w:t xml:space="preserve"> à </w:t>
      </w:r>
      <w:r w:rsidR="00285E24" w:rsidRPr="00961E70">
        <w:rPr>
          <w:rFonts w:asciiTheme="minorHAnsi" w:hAnsiTheme="minorHAnsi"/>
          <w:sz w:val="22"/>
          <w:szCs w:val="24"/>
        </w:rPr>
        <w:t>taux et demi (1</w:t>
      </w:r>
      <w:r w:rsidR="001172D5" w:rsidRPr="00961E70">
        <w:rPr>
          <w:rFonts w:asciiTheme="minorHAnsi" w:hAnsiTheme="minorHAnsi"/>
          <w:sz w:val="22"/>
          <w:szCs w:val="24"/>
        </w:rPr>
        <w:t>,</w:t>
      </w:r>
      <w:r w:rsidR="00285E24" w:rsidRPr="00961E70">
        <w:rPr>
          <w:rFonts w:asciiTheme="minorHAnsi" w:hAnsiTheme="minorHAnsi"/>
          <w:sz w:val="22"/>
          <w:szCs w:val="24"/>
        </w:rPr>
        <w:t>5</w:t>
      </w:r>
      <w:r w:rsidR="001172D5" w:rsidRPr="00961E70">
        <w:rPr>
          <w:rFonts w:asciiTheme="minorHAnsi" w:hAnsiTheme="minorHAnsi"/>
          <w:sz w:val="22"/>
          <w:szCs w:val="24"/>
        </w:rPr>
        <w:t> </w:t>
      </w:r>
      <w:r w:rsidR="00285E24" w:rsidRPr="00961E70">
        <w:rPr>
          <w:rFonts w:asciiTheme="minorHAnsi" w:hAnsiTheme="minorHAnsi"/>
          <w:sz w:val="22"/>
          <w:szCs w:val="24"/>
        </w:rPr>
        <w:t>h)</w:t>
      </w:r>
      <w:r w:rsidR="00812827" w:rsidRPr="00961E70">
        <w:rPr>
          <w:rFonts w:asciiTheme="minorHAnsi" w:hAnsiTheme="minorHAnsi"/>
          <w:sz w:val="22"/>
          <w:szCs w:val="24"/>
        </w:rPr>
        <w:t xml:space="preserve"> après 40 heures</w:t>
      </w:r>
      <w:r w:rsidR="007D1157" w:rsidRPr="00961E70">
        <w:rPr>
          <w:rFonts w:asciiTheme="minorHAnsi" w:hAnsiTheme="minorHAnsi"/>
          <w:sz w:val="22"/>
          <w:szCs w:val="24"/>
        </w:rPr>
        <w:t>.</w:t>
      </w:r>
    </w:p>
    <w:p w:rsidR="00AD01B1" w:rsidRPr="00961E70" w:rsidRDefault="00AD01B1" w:rsidP="007D1157">
      <w:pPr>
        <w:tabs>
          <w:tab w:val="left" w:pos="720"/>
        </w:tabs>
        <w:spacing w:after="0" w:line="240" w:lineRule="auto"/>
        <w:ind w:left="720" w:hanging="720"/>
        <w:rPr>
          <w:rFonts w:asciiTheme="minorHAnsi" w:hAnsiTheme="minorHAnsi"/>
          <w:sz w:val="22"/>
          <w:szCs w:val="24"/>
        </w:rPr>
      </w:pPr>
    </w:p>
    <w:p w:rsidR="00AD01B1" w:rsidRPr="00961E70" w:rsidRDefault="00AD01B1" w:rsidP="007D1157">
      <w:pPr>
        <w:pStyle w:val="Paragraphedeliste"/>
        <w:numPr>
          <w:ilvl w:val="0"/>
          <w:numId w:val="1"/>
        </w:numPr>
        <w:tabs>
          <w:tab w:val="left" w:pos="720"/>
        </w:tabs>
        <w:spacing w:after="0" w:line="240" w:lineRule="auto"/>
        <w:ind w:left="720" w:hanging="720"/>
        <w:rPr>
          <w:rFonts w:asciiTheme="minorHAnsi" w:hAnsiTheme="minorHAnsi"/>
          <w:sz w:val="22"/>
          <w:szCs w:val="24"/>
        </w:rPr>
      </w:pPr>
      <w:r w:rsidRPr="00961E70">
        <w:rPr>
          <w:rFonts w:asciiTheme="minorHAnsi" w:hAnsiTheme="minorHAnsi"/>
          <w:sz w:val="22"/>
          <w:szCs w:val="24"/>
        </w:rPr>
        <w:t>Aucune reprise de temps ne peut être anticipée</w:t>
      </w:r>
      <w:r w:rsidR="007D1157" w:rsidRPr="00961E70">
        <w:rPr>
          <w:rFonts w:asciiTheme="minorHAnsi" w:hAnsiTheme="minorHAnsi"/>
          <w:sz w:val="22"/>
          <w:szCs w:val="24"/>
        </w:rPr>
        <w:t>.</w:t>
      </w:r>
    </w:p>
    <w:p w:rsidR="00E8418C" w:rsidRPr="00961E70" w:rsidRDefault="00E8418C" w:rsidP="007D1157">
      <w:pPr>
        <w:tabs>
          <w:tab w:val="left" w:pos="720"/>
        </w:tabs>
        <w:spacing w:after="0" w:line="240" w:lineRule="auto"/>
        <w:ind w:left="720" w:hanging="720"/>
        <w:rPr>
          <w:rFonts w:asciiTheme="minorHAnsi" w:hAnsiTheme="minorHAnsi"/>
          <w:sz w:val="22"/>
          <w:szCs w:val="24"/>
        </w:rPr>
      </w:pPr>
    </w:p>
    <w:p w:rsidR="00E8418C" w:rsidRPr="00961E70" w:rsidRDefault="00E57D17" w:rsidP="007D1157">
      <w:pPr>
        <w:numPr>
          <w:ilvl w:val="0"/>
          <w:numId w:val="1"/>
        </w:numPr>
        <w:tabs>
          <w:tab w:val="left" w:pos="720"/>
        </w:tabs>
        <w:spacing w:after="0" w:line="240" w:lineRule="auto"/>
        <w:ind w:left="720" w:hanging="720"/>
        <w:rPr>
          <w:rFonts w:asciiTheme="minorHAnsi" w:hAnsiTheme="minorHAnsi"/>
          <w:sz w:val="22"/>
          <w:szCs w:val="24"/>
        </w:rPr>
      </w:pPr>
      <w:r w:rsidRPr="00961E70">
        <w:rPr>
          <w:rFonts w:asciiTheme="minorHAnsi" w:hAnsiTheme="minorHAnsi"/>
          <w:sz w:val="22"/>
          <w:szCs w:val="24"/>
        </w:rPr>
        <w:t>Un m</w:t>
      </w:r>
      <w:r w:rsidR="00E8418C" w:rsidRPr="00961E70">
        <w:rPr>
          <w:rFonts w:asciiTheme="minorHAnsi" w:hAnsiTheme="minorHAnsi"/>
          <w:sz w:val="22"/>
          <w:szCs w:val="24"/>
        </w:rPr>
        <w:t xml:space="preserve">aximum de </w:t>
      </w:r>
      <w:r w:rsidR="001567C5" w:rsidRPr="00961E70">
        <w:rPr>
          <w:rFonts w:asciiTheme="minorHAnsi" w:hAnsiTheme="minorHAnsi"/>
          <w:sz w:val="22"/>
          <w:szCs w:val="24"/>
        </w:rPr>
        <w:t>cinq</w:t>
      </w:r>
      <w:r w:rsidR="00E8418C" w:rsidRPr="00961E70">
        <w:rPr>
          <w:rFonts w:asciiTheme="minorHAnsi" w:hAnsiTheme="minorHAnsi"/>
          <w:sz w:val="22"/>
          <w:szCs w:val="24"/>
        </w:rPr>
        <w:t xml:space="preserve"> </w:t>
      </w:r>
      <w:r w:rsidR="007D1157" w:rsidRPr="00961E70">
        <w:rPr>
          <w:rFonts w:asciiTheme="minorHAnsi" w:hAnsiTheme="minorHAnsi"/>
          <w:sz w:val="22"/>
          <w:szCs w:val="24"/>
        </w:rPr>
        <w:t>(5) </w:t>
      </w:r>
      <w:r w:rsidR="00E8418C" w:rsidRPr="00961E70">
        <w:rPr>
          <w:rFonts w:asciiTheme="minorHAnsi" w:hAnsiTheme="minorHAnsi"/>
          <w:sz w:val="22"/>
          <w:szCs w:val="24"/>
        </w:rPr>
        <w:t>jours</w:t>
      </w:r>
      <w:r w:rsidRPr="00961E70">
        <w:rPr>
          <w:rFonts w:asciiTheme="minorHAnsi" w:hAnsiTheme="minorHAnsi"/>
          <w:sz w:val="22"/>
          <w:szCs w:val="24"/>
        </w:rPr>
        <w:t xml:space="preserve"> peut être</w:t>
      </w:r>
      <w:r w:rsidR="00E8418C" w:rsidRPr="00961E70">
        <w:rPr>
          <w:rFonts w:asciiTheme="minorHAnsi" w:hAnsiTheme="minorHAnsi"/>
          <w:sz w:val="22"/>
          <w:szCs w:val="24"/>
        </w:rPr>
        <w:t xml:space="preserve"> </w:t>
      </w:r>
      <w:r w:rsidRPr="00961E70">
        <w:rPr>
          <w:rFonts w:asciiTheme="minorHAnsi" w:hAnsiTheme="minorHAnsi"/>
          <w:sz w:val="22"/>
          <w:szCs w:val="24"/>
        </w:rPr>
        <w:t>accumulé</w:t>
      </w:r>
      <w:r w:rsidR="00DA4444" w:rsidRPr="00961E70">
        <w:rPr>
          <w:rFonts w:asciiTheme="minorHAnsi" w:hAnsiTheme="minorHAnsi"/>
          <w:sz w:val="22"/>
          <w:szCs w:val="24"/>
        </w:rPr>
        <w:t xml:space="preserve"> pour les membres de l’e</w:t>
      </w:r>
      <w:r w:rsidR="00E8418C" w:rsidRPr="00961E70">
        <w:rPr>
          <w:rFonts w:asciiTheme="minorHAnsi" w:hAnsiTheme="minorHAnsi"/>
          <w:sz w:val="22"/>
          <w:szCs w:val="24"/>
        </w:rPr>
        <w:t xml:space="preserve">xécutif et les agentes. La totalité des </w:t>
      </w:r>
      <w:r w:rsidR="00812827" w:rsidRPr="00961E70">
        <w:rPr>
          <w:rFonts w:asciiTheme="minorHAnsi" w:hAnsiTheme="minorHAnsi"/>
          <w:sz w:val="22"/>
          <w:szCs w:val="24"/>
        </w:rPr>
        <w:t>heures</w:t>
      </w:r>
      <w:r w:rsidR="00E8418C" w:rsidRPr="00961E70">
        <w:rPr>
          <w:rFonts w:asciiTheme="minorHAnsi" w:hAnsiTheme="minorHAnsi"/>
          <w:sz w:val="22"/>
          <w:szCs w:val="24"/>
        </w:rPr>
        <w:t xml:space="preserve"> excédentaires non utilisée</w:t>
      </w:r>
      <w:r w:rsidR="00812827" w:rsidRPr="00961E70">
        <w:rPr>
          <w:rFonts w:asciiTheme="minorHAnsi" w:hAnsiTheme="minorHAnsi"/>
          <w:sz w:val="22"/>
          <w:szCs w:val="24"/>
        </w:rPr>
        <w:t>s</w:t>
      </w:r>
      <w:r w:rsidR="00E8418C" w:rsidRPr="00961E70">
        <w:rPr>
          <w:rFonts w:asciiTheme="minorHAnsi" w:hAnsiTheme="minorHAnsi"/>
          <w:sz w:val="22"/>
          <w:szCs w:val="24"/>
        </w:rPr>
        <w:t xml:space="preserve"> est monnayée à </w:t>
      </w:r>
      <w:r w:rsidR="00812827" w:rsidRPr="00961E70">
        <w:rPr>
          <w:rFonts w:asciiTheme="minorHAnsi" w:hAnsiTheme="minorHAnsi"/>
          <w:sz w:val="22"/>
          <w:szCs w:val="24"/>
        </w:rPr>
        <w:t>la fin du mois</w:t>
      </w:r>
      <w:r w:rsidR="00E8418C" w:rsidRPr="00961E70">
        <w:rPr>
          <w:rFonts w:asciiTheme="minorHAnsi" w:hAnsiTheme="minorHAnsi"/>
          <w:sz w:val="22"/>
          <w:szCs w:val="24"/>
        </w:rPr>
        <w:t>.</w:t>
      </w:r>
    </w:p>
    <w:p w:rsidR="00E8418C" w:rsidRPr="00961E70" w:rsidRDefault="00E8418C" w:rsidP="007D1157">
      <w:pPr>
        <w:pStyle w:val="Paragraphedeliste"/>
        <w:tabs>
          <w:tab w:val="left" w:pos="720"/>
        </w:tabs>
        <w:spacing w:after="0" w:line="240" w:lineRule="auto"/>
        <w:ind w:hanging="720"/>
        <w:rPr>
          <w:rFonts w:asciiTheme="minorHAnsi" w:hAnsiTheme="minorHAnsi"/>
          <w:sz w:val="22"/>
          <w:szCs w:val="24"/>
        </w:rPr>
      </w:pPr>
    </w:p>
    <w:p w:rsidR="00E8418C" w:rsidRPr="00961E70" w:rsidRDefault="00E8418C" w:rsidP="007D1157">
      <w:pPr>
        <w:numPr>
          <w:ilvl w:val="0"/>
          <w:numId w:val="1"/>
        </w:numPr>
        <w:tabs>
          <w:tab w:val="left" w:pos="720"/>
        </w:tabs>
        <w:spacing w:after="0" w:line="240" w:lineRule="auto"/>
        <w:ind w:left="720" w:hanging="720"/>
        <w:rPr>
          <w:rFonts w:asciiTheme="minorHAnsi" w:hAnsiTheme="minorHAnsi"/>
          <w:sz w:val="22"/>
          <w:szCs w:val="24"/>
        </w:rPr>
      </w:pPr>
      <w:r w:rsidRPr="00961E70">
        <w:rPr>
          <w:rFonts w:asciiTheme="minorHAnsi" w:hAnsiTheme="minorHAnsi"/>
          <w:sz w:val="22"/>
          <w:szCs w:val="24"/>
        </w:rPr>
        <w:t>Au 31 décembre de chaque année, la totalité des journées accumulées dans la banque de temps est monnayée.</w:t>
      </w:r>
    </w:p>
    <w:p w:rsidR="00E8418C" w:rsidRPr="00961E70" w:rsidRDefault="00E8418C" w:rsidP="007D1157">
      <w:pPr>
        <w:tabs>
          <w:tab w:val="left" w:pos="720"/>
        </w:tabs>
        <w:spacing w:after="0" w:line="240" w:lineRule="auto"/>
        <w:ind w:left="720" w:hanging="720"/>
        <w:rPr>
          <w:rFonts w:asciiTheme="minorHAnsi" w:hAnsiTheme="minorHAnsi"/>
          <w:sz w:val="22"/>
          <w:szCs w:val="24"/>
        </w:rPr>
      </w:pPr>
    </w:p>
    <w:p w:rsidR="00E8418C" w:rsidRPr="00961E70" w:rsidRDefault="00E8418C" w:rsidP="007D1157">
      <w:pPr>
        <w:numPr>
          <w:ilvl w:val="0"/>
          <w:numId w:val="1"/>
        </w:numPr>
        <w:tabs>
          <w:tab w:val="left" w:pos="720"/>
        </w:tabs>
        <w:spacing w:after="0" w:line="240" w:lineRule="auto"/>
        <w:ind w:left="720" w:hanging="720"/>
        <w:rPr>
          <w:rFonts w:asciiTheme="minorHAnsi" w:hAnsiTheme="minorHAnsi"/>
          <w:sz w:val="22"/>
          <w:szCs w:val="24"/>
        </w:rPr>
      </w:pPr>
      <w:r w:rsidRPr="00961E70">
        <w:rPr>
          <w:rFonts w:asciiTheme="minorHAnsi" w:hAnsiTheme="minorHAnsi"/>
          <w:sz w:val="22"/>
          <w:szCs w:val="24"/>
        </w:rPr>
        <w:t>Lo</w:t>
      </w:r>
      <w:r w:rsidR="00DA4444" w:rsidRPr="00961E70">
        <w:rPr>
          <w:rFonts w:asciiTheme="minorHAnsi" w:hAnsiTheme="minorHAnsi"/>
          <w:sz w:val="22"/>
          <w:szCs w:val="24"/>
        </w:rPr>
        <w:t>rs du départ d’une membre de l’e</w:t>
      </w:r>
      <w:r w:rsidRPr="00961E70">
        <w:rPr>
          <w:rFonts w:asciiTheme="minorHAnsi" w:hAnsiTheme="minorHAnsi"/>
          <w:sz w:val="22"/>
          <w:szCs w:val="24"/>
        </w:rPr>
        <w:t>xécutif ou d’une agente</w:t>
      </w:r>
      <w:r w:rsidR="006B3E55" w:rsidRPr="00961E70">
        <w:rPr>
          <w:rFonts w:asciiTheme="minorHAnsi" w:hAnsiTheme="minorHAnsi"/>
          <w:sz w:val="22"/>
          <w:szCs w:val="24"/>
        </w:rPr>
        <w:t xml:space="preserve">, </w:t>
      </w:r>
      <w:r w:rsidR="007C52FC" w:rsidRPr="00961E70">
        <w:rPr>
          <w:rFonts w:asciiTheme="minorHAnsi" w:hAnsiTheme="minorHAnsi"/>
          <w:sz w:val="22"/>
          <w:szCs w:val="24"/>
        </w:rPr>
        <w:t>l</w:t>
      </w:r>
      <w:r w:rsidRPr="00961E70">
        <w:rPr>
          <w:rFonts w:asciiTheme="minorHAnsi" w:hAnsiTheme="minorHAnsi"/>
          <w:sz w:val="22"/>
          <w:szCs w:val="24"/>
        </w:rPr>
        <w:t xml:space="preserve">a reprise de temps accumulé </w:t>
      </w:r>
      <w:r w:rsidR="007D1157" w:rsidRPr="00961E70">
        <w:rPr>
          <w:rFonts w:asciiTheme="minorHAnsi" w:hAnsiTheme="minorHAnsi"/>
          <w:sz w:val="22"/>
          <w:szCs w:val="24"/>
        </w:rPr>
        <w:t xml:space="preserve">est </w:t>
      </w:r>
      <w:r w:rsidRPr="00961E70">
        <w:rPr>
          <w:rFonts w:asciiTheme="minorHAnsi" w:hAnsiTheme="minorHAnsi"/>
          <w:sz w:val="22"/>
          <w:szCs w:val="24"/>
        </w:rPr>
        <w:t xml:space="preserve">favorisée. L’excédent qui ne </w:t>
      </w:r>
      <w:r w:rsidR="007D1157" w:rsidRPr="00961E70">
        <w:rPr>
          <w:rFonts w:asciiTheme="minorHAnsi" w:hAnsiTheme="minorHAnsi"/>
          <w:sz w:val="22"/>
          <w:szCs w:val="24"/>
        </w:rPr>
        <w:t>peut être repris est monnayé.</w:t>
      </w:r>
    </w:p>
    <w:p w:rsidR="00812827" w:rsidRPr="00961E70" w:rsidRDefault="00812827" w:rsidP="00812827">
      <w:pPr>
        <w:ind w:left="0" w:firstLine="0"/>
        <w:rPr>
          <w:rFonts w:asciiTheme="minorHAnsi" w:hAnsiTheme="minorHAnsi"/>
          <w:sz w:val="22"/>
          <w:szCs w:val="24"/>
        </w:rPr>
      </w:pPr>
    </w:p>
    <w:p w:rsidR="00E8418C" w:rsidRPr="009F22BC" w:rsidRDefault="00812827" w:rsidP="00DA73F4">
      <w:pPr>
        <w:pStyle w:val="Paragraphedeliste"/>
        <w:numPr>
          <w:ilvl w:val="0"/>
          <w:numId w:val="1"/>
        </w:numPr>
        <w:tabs>
          <w:tab w:val="left" w:pos="720"/>
        </w:tabs>
        <w:spacing w:after="0" w:line="240" w:lineRule="auto"/>
        <w:ind w:left="720" w:hanging="720"/>
        <w:rPr>
          <w:rFonts w:asciiTheme="minorHAnsi" w:hAnsiTheme="minorHAnsi"/>
          <w:sz w:val="22"/>
          <w:szCs w:val="24"/>
        </w:rPr>
      </w:pPr>
      <w:r w:rsidRPr="009F22BC">
        <w:rPr>
          <w:rFonts w:asciiTheme="minorHAnsi" w:hAnsiTheme="minorHAnsi"/>
          <w:sz w:val="22"/>
          <w:szCs w:val="24"/>
        </w:rPr>
        <w:t>Les déplacements sont rémunérés à taux simple.</w:t>
      </w:r>
      <w:r w:rsidR="00AE2981" w:rsidRPr="009F22BC">
        <w:rPr>
          <w:rFonts w:asciiTheme="minorHAnsi" w:hAnsiTheme="minorHAnsi"/>
          <w:sz w:val="22"/>
          <w:szCs w:val="24"/>
        </w:rPr>
        <w:t xml:space="preserve"> </w:t>
      </w:r>
    </w:p>
    <w:p w:rsidR="009F22BC" w:rsidRPr="009F22BC" w:rsidRDefault="009F22BC" w:rsidP="00F21944">
      <w:pPr>
        <w:tabs>
          <w:tab w:val="left" w:pos="720"/>
        </w:tabs>
        <w:spacing w:after="0" w:line="240" w:lineRule="auto"/>
        <w:ind w:left="0" w:firstLine="0"/>
        <w:rPr>
          <w:rFonts w:asciiTheme="minorHAnsi" w:hAnsiTheme="minorHAnsi"/>
          <w:sz w:val="22"/>
          <w:szCs w:val="24"/>
        </w:rPr>
      </w:pPr>
    </w:p>
    <w:p w:rsidR="00375E2C" w:rsidRDefault="00E74F01" w:rsidP="003A0D21">
      <w:pPr>
        <w:pStyle w:val="Paragraphedeliste"/>
        <w:numPr>
          <w:ilvl w:val="0"/>
          <w:numId w:val="1"/>
        </w:numPr>
        <w:tabs>
          <w:tab w:val="left" w:pos="720"/>
        </w:tabs>
        <w:spacing w:after="0" w:line="240" w:lineRule="auto"/>
        <w:ind w:left="720" w:hanging="720"/>
        <w:rPr>
          <w:rFonts w:asciiTheme="minorHAnsi" w:hAnsiTheme="minorHAnsi"/>
          <w:sz w:val="22"/>
          <w:szCs w:val="24"/>
        </w:rPr>
      </w:pPr>
      <w:r w:rsidRPr="00AE2981">
        <w:rPr>
          <w:rFonts w:asciiTheme="minorHAnsi" w:hAnsiTheme="minorHAnsi"/>
          <w:sz w:val="22"/>
          <w:szCs w:val="24"/>
        </w:rPr>
        <w:t>Le calcul du temps cumulé lors de déplacements est établi selon le temps réellement fait.</w:t>
      </w:r>
      <w:r w:rsidR="00AE2981" w:rsidRPr="00AE2981">
        <w:rPr>
          <w:rFonts w:asciiTheme="minorHAnsi" w:hAnsiTheme="minorHAnsi"/>
          <w:sz w:val="22"/>
          <w:szCs w:val="24"/>
        </w:rPr>
        <w:t xml:space="preserve"> </w:t>
      </w:r>
    </w:p>
    <w:p w:rsidR="008514D9" w:rsidRDefault="008514D9" w:rsidP="008514D9">
      <w:pPr>
        <w:pStyle w:val="Paragraphedeliste"/>
        <w:tabs>
          <w:tab w:val="left" w:pos="720"/>
        </w:tabs>
        <w:spacing w:after="0" w:line="240" w:lineRule="auto"/>
        <w:ind w:firstLine="0"/>
        <w:rPr>
          <w:rFonts w:asciiTheme="minorHAnsi" w:hAnsiTheme="minorHAnsi"/>
          <w:sz w:val="22"/>
          <w:szCs w:val="24"/>
        </w:rPr>
      </w:pPr>
    </w:p>
    <w:p w:rsidR="00375E2C" w:rsidRPr="00415991" w:rsidRDefault="00AE2981" w:rsidP="008514D9">
      <w:pPr>
        <w:pStyle w:val="Paragraphedeliste"/>
        <w:numPr>
          <w:ilvl w:val="0"/>
          <w:numId w:val="1"/>
        </w:numPr>
        <w:tabs>
          <w:tab w:val="left" w:pos="720"/>
        </w:tabs>
        <w:spacing w:after="0" w:line="240" w:lineRule="auto"/>
        <w:ind w:left="720" w:hanging="720"/>
        <w:rPr>
          <w:rFonts w:ascii="Calibri" w:hAnsi="Calibri"/>
          <w:sz w:val="22"/>
          <w:szCs w:val="24"/>
        </w:rPr>
      </w:pPr>
      <w:r w:rsidRPr="00415991">
        <w:rPr>
          <w:rFonts w:ascii="Calibri" w:hAnsi="Calibri"/>
          <w:sz w:val="22"/>
        </w:rPr>
        <w:t>Le temps normalement effectué pour l’aller et le retour entre la résidence de</w:t>
      </w:r>
      <w:r w:rsidR="00F21944" w:rsidRPr="00415991">
        <w:rPr>
          <w:rFonts w:ascii="Calibri" w:hAnsi="Calibri"/>
          <w:sz w:val="22"/>
        </w:rPr>
        <w:t xml:space="preserve"> la militante</w:t>
      </w:r>
      <w:r w:rsidRPr="00415991">
        <w:rPr>
          <w:rFonts w:ascii="Calibri" w:hAnsi="Calibri"/>
          <w:sz w:val="22"/>
        </w:rPr>
        <w:t xml:space="preserve"> et son lieu de travail syndical habituel, ne peut être réclamé. </w:t>
      </w:r>
    </w:p>
    <w:p w:rsidR="00E74F01" w:rsidRPr="00961E70" w:rsidRDefault="00E74F01" w:rsidP="00E74F01">
      <w:pPr>
        <w:tabs>
          <w:tab w:val="left" w:pos="720"/>
        </w:tabs>
        <w:spacing w:after="0" w:line="240" w:lineRule="auto"/>
        <w:ind w:left="720" w:hanging="720"/>
        <w:rPr>
          <w:rFonts w:asciiTheme="minorHAnsi" w:hAnsiTheme="minorHAnsi"/>
          <w:sz w:val="22"/>
          <w:szCs w:val="24"/>
        </w:rPr>
      </w:pPr>
    </w:p>
    <w:p w:rsidR="00E74F01" w:rsidRPr="00961E70" w:rsidRDefault="00E74F01" w:rsidP="00E74F01">
      <w:pPr>
        <w:pStyle w:val="Paragraphedeliste"/>
        <w:numPr>
          <w:ilvl w:val="0"/>
          <w:numId w:val="1"/>
        </w:numPr>
        <w:tabs>
          <w:tab w:val="left" w:pos="720"/>
        </w:tabs>
        <w:spacing w:after="0" w:line="240" w:lineRule="auto"/>
        <w:ind w:left="720" w:hanging="720"/>
        <w:rPr>
          <w:rFonts w:asciiTheme="minorHAnsi" w:hAnsiTheme="minorHAnsi"/>
          <w:sz w:val="22"/>
          <w:szCs w:val="24"/>
        </w:rPr>
      </w:pPr>
      <w:r w:rsidRPr="00961E70">
        <w:rPr>
          <w:rFonts w:asciiTheme="minorHAnsi" w:hAnsiTheme="minorHAnsi"/>
          <w:sz w:val="22"/>
          <w:szCs w:val="24"/>
        </w:rPr>
        <w:t>Le temps accumulé lors des conseils ou des congrès fédéraux de la FIQ, lors des congrès des ordres professionnels ou tout autre congrès est comptabilisé et rémunéré de la façon suivante :</w:t>
      </w:r>
    </w:p>
    <w:p w:rsidR="00E74F01" w:rsidRPr="00961E70" w:rsidRDefault="00E74F01" w:rsidP="00E74F01">
      <w:pPr>
        <w:tabs>
          <w:tab w:val="left" w:pos="720"/>
        </w:tabs>
        <w:spacing w:after="0" w:line="240" w:lineRule="auto"/>
        <w:ind w:left="720" w:hanging="720"/>
        <w:rPr>
          <w:rFonts w:asciiTheme="minorHAnsi" w:hAnsiTheme="minorHAnsi"/>
          <w:sz w:val="22"/>
          <w:szCs w:val="24"/>
        </w:rPr>
      </w:pPr>
    </w:p>
    <w:p w:rsidR="00FA4477" w:rsidRPr="00961E70" w:rsidRDefault="00FA4477" w:rsidP="009274F7">
      <w:pPr>
        <w:numPr>
          <w:ilvl w:val="0"/>
          <w:numId w:val="5"/>
        </w:numPr>
        <w:tabs>
          <w:tab w:val="left" w:pos="720"/>
        </w:tabs>
        <w:spacing w:after="0" w:line="240" w:lineRule="auto"/>
        <w:ind w:hanging="360"/>
        <w:rPr>
          <w:rFonts w:asciiTheme="minorHAnsi" w:hAnsiTheme="minorHAnsi"/>
          <w:sz w:val="22"/>
          <w:szCs w:val="24"/>
        </w:rPr>
      </w:pPr>
      <w:r w:rsidRPr="00961E70">
        <w:rPr>
          <w:rFonts w:asciiTheme="minorHAnsi" w:hAnsiTheme="minorHAnsi"/>
          <w:sz w:val="22"/>
          <w:szCs w:val="24"/>
        </w:rPr>
        <w:t>toutes les heures travaillées en surplus de la journée normale de travail sont comptabilisées et rémunéré à taux simple</w:t>
      </w:r>
      <w:r w:rsidR="00812827" w:rsidRPr="00961E70">
        <w:rPr>
          <w:rFonts w:asciiTheme="minorHAnsi" w:hAnsiTheme="minorHAnsi"/>
          <w:sz w:val="22"/>
          <w:szCs w:val="24"/>
        </w:rPr>
        <w:t>, jusqu’à concurrence de 40 heures/semaine</w:t>
      </w:r>
      <w:r w:rsidR="001D3DF1" w:rsidRPr="00961E70">
        <w:rPr>
          <w:rFonts w:asciiTheme="minorHAnsi" w:hAnsiTheme="minorHAnsi"/>
          <w:sz w:val="22"/>
          <w:szCs w:val="24"/>
        </w:rPr>
        <w:t>.</w:t>
      </w:r>
    </w:p>
    <w:p w:rsidR="00A95471" w:rsidRPr="00961E70" w:rsidRDefault="00A95471" w:rsidP="001D3DF1">
      <w:pPr>
        <w:tabs>
          <w:tab w:val="left" w:pos="720"/>
        </w:tabs>
        <w:spacing w:after="0" w:line="240" w:lineRule="auto"/>
        <w:rPr>
          <w:rFonts w:asciiTheme="minorHAnsi" w:hAnsiTheme="minorHAnsi"/>
          <w:sz w:val="22"/>
          <w:szCs w:val="24"/>
        </w:rPr>
      </w:pPr>
    </w:p>
    <w:p w:rsidR="001D3DF1" w:rsidRPr="00961E70" w:rsidRDefault="001D3DF1" w:rsidP="001D3DF1">
      <w:pPr>
        <w:numPr>
          <w:ilvl w:val="0"/>
          <w:numId w:val="5"/>
        </w:numPr>
        <w:tabs>
          <w:tab w:val="left" w:pos="720"/>
        </w:tabs>
        <w:spacing w:after="0" w:line="240" w:lineRule="auto"/>
        <w:ind w:hanging="360"/>
        <w:rPr>
          <w:rFonts w:asciiTheme="minorHAnsi" w:hAnsiTheme="minorHAnsi"/>
          <w:sz w:val="22"/>
          <w:szCs w:val="24"/>
        </w:rPr>
      </w:pPr>
      <w:r w:rsidRPr="00961E70">
        <w:rPr>
          <w:rFonts w:asciiTheme="minorHAnsi" w:hAnsiTheme="minorHAnsi"/>
          <w:sz w:val="22"/>
          <w:szCs w:val="24"/>
        </w:rPr>
        <w:t>la journée de travail lors des conseils ou des congrès fédéraux de la FIQ, lors des congrès des ordres professionnels ou de tout autre congrès ne peut être moindre qu’une journée normale de travail;</w:t>
      </w:r>
    </w:p>
    <w:p w:rsidR="001D3DF1" w:rsidRPr="00961E70" w:rsidRDefault="001D3DF1" w:rsidP="001D3DF1">
      <w:pPr>
        <w:tabs>
          <w:tab w:val="left" w:pos="720"/>
        </w:tabs>
        <w:spacing w:after="0" w:line="240" w:lineRule="auto"/>
        <w:ind w:left="1065" w:firstLine="0"/>
        <w:rPr>
          <w:rFonts w:asciiTheme="minorHAnsi" w:hAnsiTheme="minorHAnsi"/>
          <w:sz w:val="22"/>
          <w:szCs w:val="24"/>
        </w:rPr>
      </w:pPr>
    </w:p>
    <w:p w:rsidR="001D3DF1" w:rsidRPr="00961E70" w:rsidRDefault="001D3DF1" w:rsidP="001D3DF1">
      <w:pPr>
        <w:numPr>
          <w:ilvl w:val="0"/>
          <w:numId w:val="5"/>
        </w:numPr>
        <w:tabs>
          <w:tab w:val="left" w:pos="720"/>
        </w:tabs>
        <w:spacing w:after="0" w:line="240" w:lineRule="auto"/>
        <w:ind w:hanging="360"/>
        <w:rPr>
          <w:rFonts w:asciiTheme="minorHAnsi" w:hAnsiTheme="minorHAnsi"/>
          <w:sz w:val="22"/>
          <w:szCs w:val="24"/>
        </w:rPr>
      </w:pPr>
      <w:r w:rsidRPr="00961E70">
        <w:rPr>
          <w:rFonts w:asciiTheme="minorHAnsi" w:hAnsiTheme="minorHAnsi"/>
          <w:sz w:val="22"/>
          <w:szCs w:val="24"/>
        </w:rPr>
        <w:t>si la personne arrive après le début de l’instance ou quitte volontairement avant la fin, ce temps lui est déduit de sa banque de temps cumulé;</w:t>
      </w:r>
    </w:p>
    <w:p w:rsidR="001D3DF1" w:rsidRPr="00961E70" w:rsidRDefault="001D3DF1" w:rsidP="001D3DF1">
      <w:pPr>
        <w:tabs>
          <w:tab w:val="left" w:pos="720"/>
        </w:tabs>
        <w:spacing w:after="0" w:line="240" w:lineRule="auto"/>
        <w:ind w:left="1065" w:firstLine="0"/>
        <w:rPr>
          <w:rFonts w:asciiTheme="minorHAnsi" w:hAnsiTheme="minorHAnsi"/>
          <w:sz w:val="22"/>
          <w:szCs w:val="24"/>
        </w:rPr>
      </w:pPr>
      <w:bookmarkStart w:id="0" w:name="_GoBack"/>
      <w:bookmarkEnd w:id="0"/>
    </w:p>
    <w:p w:rsidR="008D1F62" w:rsidRPr="00961E70" w:rsidRDefault="001D3DF1" w:rsidP="00A21470">
      <w:pPr>
        <w:numPr>
          <w:ilvl w:val="0"/>
          <w:numId w:val="5"/>
        </w:numPr>
        <w:tabs>
          <w:tab w:val="left" w:pos="720"/>
        </w:tabs>
        <w:spacing w:after="0" w:line="240" w:lineRule="auto"/>
        <w:ind w:hanging="360"/>
        <w:rPr>
          <w:rFonts w:asciiTheme="minorHAnsi" w:hAnsiTheme="minorHAnsi"/>
          <w:sz w:val="22"/>
          <w:szCs w:val="24"/>
        </w:rPr>
      </w:pPr>
      <w:r w:rsidRPr="00961E70">
        <w:rPr>
          <w:rFonts w:asciiTheme="minorHAnsi" w:hAnsiTheme="minorHAnsi"/>
          <w:sz w:val="22"/>
          <w:szCs w:val="24"/>
        </w:rPr>
        <w:t>nonobstant ce qui précède, si la dernière journée de l’instance est inférieure à une journée normale de travail, la personne doit terminer sa journée dans son lieu habituel de travail ou le solde de celle-ci lui est déduit de sa banque de temps cumulé.</w:t>
      </w:r>
    </w:p>
    <w:sectPr w:rsidR="008D1F62" w:rsidRPr="00961E70" w:rsidSect="00A94EDD">
      <w:headerReference w:type="default" r:id="rId13"/>
      <w:pgSz w:w="12240" w:h="15840"/>
      <w:pgMar w:top="1134" w:right="1440" w:bottom="1009" w:left="1440" w:header="709"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425" w:rsidRDefault="00105425" w:rsidP="007B54B1">
      <w:pPr>
        <w:spacing w:after="0" w:line="240" w:lineRule="auto"/>
      </w:pPr>
      <w:r>
        <w:separator/>
      </w:r>
    </w:p>
  </w:endnote>
  <w:endnote w:type="continuationSeparator" w:id="0">
    <w:p w:rsidR="00105425" w:rsidRDefault="00105425" w:rsidP="007B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Black">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84A" w:rsidRPr="00762A31" w:rsidRDefault="00254E73" w:rsidP="00762A31">
    <w:pPr>
      <w:pStyle w:val="Pieddepage"/>
      <w:tabs>
        <w:tab w:val="clear" w:pos="4320"/>
        <w:tab w:val="clear" w:pos="8640"/>
        <w:tab w:val="right" w:pos="9360"/>
      </w:tabs>
      <w:rPr>
        <w:rFonts w:asciiTheme="minorHAnsi" w:hAnsiTheme="minorHAnsi"/>
        <w:color w:val="auto"/>
        <w:sz w:val="16"/>
        <w:szCs w:val="16"/>
      </w:rPr>
    </w:pPr>
    <w:r>
      <w:rPr>
        <w:rFonts w:asciiTheme="minorHAnsi" w:hAnsiTheme="minorHAnsi"/>
        <w:sz w:val="16"/>
        <w:szCs w:val="16"/>
      </w:rPr>
      <w:t>Adoptée le 5 septembre 2017</w:t>
    </w:r>
    <w:r w:rsidR="00762A31" w:rsidRPr="00C7384A">
      <w:rPr>
        <w:rFonts w:asciiTheme="minorHAnsi" w:hAnsiTheme="minorHAnsi"/>
        <w:sz w:val="16"/>
        <w:szCs w:val="16"/>
      </w:rPr>
      <w:tab/>
    </w:r>
    <w:r w:rsidR="00A94EDD">
      <w:rPr>
        <w:rFonts w:asciiTheme="minorHAnsi" w:hAnsiTheme="minorHAnsi"/>
        <w:color w:val="auto"/>
        <w:sz w:val="16"/>
        <w:szCs w:val="16"/>
      </w:rPr>
      <w:t>Page 1 de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425" w:rsidRDefault="00105425" w:rsidP="007B54B1">
      <w:pPr>
        <w:spacing w:after="0" w:line="240" w:lineRule="auto"/>
      </w:pPr>
      <w:r>
        <w:separator/>
      </w:r>
    </w:p>
  </w:footnote>
  <w:footnote w:type="continuationSeparator" w:id="0">
    <w:p w:rsidR="00105425" w:rsidRDefault="00105425" w:rsidP="007B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84A" w:rsidRPr="00504B9A" w:rsidRDefault="00C7384A" w:rsidP="00C7384A">
    <w:pPr>
      <w:pStyle w:val="Sansinterligne"/>
      <w:jc w:val="right"/>
      <w:rPr>
        <w:rFonts w:ascii="Calibri" w:hAnsi="Calibri"/>
        <w:color w:val="auto"/>
        <w:szCs w:val="18"/>
      </w:rPr>
    </w:pPr>
    <w:r>
      <w:rPr>
        <w:rFonts w:ascii="Calibri" w:hAnsi="Calibri"/>
        <w:b/>
        <w:color w:val="auto"/>
        <w:szCs w:val="18"/>
      </w:rPr>
      <w:t>Politique de temps supplémentaire</w:t>
    </w:r>
    <w:r w:rsidRPr="00504B9A">
      <w:rPr>
        <w:rFonts w:ascii="Calibri" w:hAnsi="Calibri"/>
        <w:color w:val="auto"/>
        <w:szCs w:val="18"/>
      </w:rPr>
      <w:br/>
      <w:t>FIQ</w:t>
    </w:r>
    <w:r w:rsidR="00E6777C" w:rsidRPr="00E6777C">
      <w:rPr>
        <w:rFonts w:ascii="Calibri" w:hAnsi="Calibri"/>
        <w:color w:val="auto"/>
        <w:szCs w:val="18"/>
      </w:rPr>
      <w:t xml:space="preserve"> </w:t>
    </w:r>
    <w:r w:rsidR="00E6777C" w:rsidRPr="00E6777C">
      <w:rPr>
        <w:rFonts w:ascii="Calibri" w:hAnsi="Calibri"/>
        <w:color w:val="auto"/>
        <w:szCs w:val="18"/>
      </w:rPr>
      <w:noBreakHyphen/>
      <w:t xml:space="preserve"> Syndicat des professionnelles en soins de </w:t>
    </w:r>
    <w:r w:rsidR="00761F53">
      <w:rPr>
        <w:rFonts w:ascii="Calibri" w:hAnsi="Calibri"/>
        <w:color w:val="auto"/>
        <w:szCs w:val="18"/>
      </w:rPr>
      <w:t>la Mauricie et Centre-du-Québec</w:t>
    </w:r>
  </w:p>
  <w:p w:rsidR="00C7384A" w:rsidRPr="00504B9A" w:rsidRDefault="00C7384A" w:rsidP="00C7384A">
    <w:pPr>
      <w:pStyle w:val="Sansinterligne"/>
      <w:pBdr>
        <w:bottom w:val="single" w:sz="2" w:space="1" w:color="auto"/>
      </w:pBdr>
      <w:jc w:val="right"/>
      <w:rPr>
        <w:rFonts w:ascii="Calibri" w:hAnsi="Calibri"/>
        <w:color w:val="auto"/>
        <w:szCs w:val="18"/>
      </w:rPr>
    </w:pPr>
  </w:p>
  <w:p w:rsidR="00C7384A" w:rsidRDefault="00C7384A" w:rsidP="00C7384A">
    <w:pPr>
      <w:pStyle w:val="Sansinterligne"/>
      <w:jc w:val="right"/>
      <w:rPr>
        <w:szCs w:val="18"/>
      </w:rPr>
    </w:pPr>
  </w:p>
  <w:p w:rsidR="00DC0410" w:rsidRPr="00504B9A" w:rsidRDefault="00DC0410" w:rsidP="00C7384A">
    <w:pPr>
      <w:pStyle w:val="Sansinterligne"/>
      <w:jc w:val="right"/>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71" w:rsidRPr="00504B9A" w:rsidRDefault="00A95471" w:rsidP="00C7384A">
    <w:pPr>
      <w:pStyle w:val="Sansinterligne"/>
      <w:jc w:val="right"/>
      <w:rPr>
        <w:rFonts w:ascii="Calibri" w:hAnsi="Calibri"/>
        <w:color w:val="auto"/>
        <w:szCs w:val="18"/>
      </w:rPr>
    </w:pPr>
    <w:r>
      <w:rPr>
        <w:rFonts w:ascii="Calibri" w:hAnsi="Calibri"/>
        <w:b/>
        <w:color w:val="auto"/>
        <w:szCs w:val="18"/>
      </w:rPr>
      <w:t>Politique de temps supplémentaire</w:t>
    </w:r>
    <w:r w:rsidR="00A93A07">
      <w:rPr>
        <w:rFonts w:ascii="Calibri" w:hAnsi="Calibri"/>
        <w:b/>
        <w:color w:val="auto"/>
        <w:szCs w:val="18"/>
      </w:rPr>
      <w:br/>
    </w:r>
    <w:r w:rsidR="00A93A07" w:rsidRPr="00504B9A">
      <w:rPr>
        <w:rFonts w:ascii="Calibri" w:hAnsi="Calibri"/>
        <w:color w:val="auto"/>
        <w:szCs w:val="18"/>
      </w:rPr>
      <w:br/>
    </w:r>
    <w:r w:rsidRPr="00504B9A">
      <w:rPr>
        <w:rFonts w:ascii="Calibri" w:hAnsi="Calibri"/>
        <w:color w:val="auto"/>
        <w:szCs w:val="18"/>
      </w:rPr>
      <w:t>FIQ</w:t>
    </w:r>
    <w:r w:rsidRPr="00E6777C">
      <w:rPr>
        <w:rFonts w:ascii="Calibri" w:hAnsi="Calibri"/>
        <w:color w:val="auto"/>
        <w:szCs w:val="18"/>
      </w:rPr>
      <w:t xml:space="preserve"> </w:t>
    </w:r>
    <w:r w:rsidRPr="00E6777C">
      <w:rPr>
        <w:rFonts w:ascii="Calibri" w:hAnsi="Calibri"/>
        <w:color w:val="auto"/>
        <w:szCs w:val="18"/>
      </w:rPr>
      <w:noBreakHyphen/>
      <w:t xml:space="preserve"> Syndicat des professionnelles en soins de </w:t>
    </w:r>
    <w:r>
      <w:rPr>
        <w:rFonts w:ascii="Calibri" w:hAnsi="Calibri"/>
        <w:color w:val="auto"/>
        <w:szCs w:val="18"/>
      </w:rPr>
      <w:t>la Mauricie et Centre-du-Québec</w:t>
    </w:r>
  </w:p>
  <w:p w:rsidR="00A95471" w:rsidRPr="00504B9A" w:rsidRDefault="00A95471" w:rsidP="00C7384A">
    <w:pPr>
      <w:pStyle w:val="Sansinterligne"/>
      <w:pBdr>
        <w:bottom w:val="single" w:sz="2" w:space="1" w:color="auto"/>
      </w:pBdr>
      <w:jc w:val="right"/>
      <w:rPr>
        <w:rFonts w:ascii="Calibri" w:hAnsi="Calibri"/>
        <w:color w:val="auto"/>
        <w:szCs w:val="18"/>
      </w:rPr>
    </w:pPr>
  </w:p>
  <w:p w:rsidR="00A95471" w:rsidRDefault="00A95471" w:rsidP="00C7384A">
    <w:pPr>
      <w:pStyle w:val="Sansinterligne"/>
      <w:jc w:val="right"/>
      <w:rPr>
        <w:szCs w:val="18"/>
      </w:rPr>
    </w:pPr>
  </w:p>
  <w:p w:rsidR="00A95471" w:rsidRPr="00504B9A" w:rsidRDefault="00A95471" w:rsidP="00C7384A">
    <w:pPr>
      <w:pStyle w:val="Sansinterligne"/>
      <w:jc w:val="right"/>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1DD4"/>
    <w:multiLevelType w:val="hybridMultilevel"/>
    <w:tmpl w:val="071C0D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E437579"/>
    <w:multiLevelType w:val="hybridMultilevel"/>
    <w:tmpl w:val="E06AD928"/>
    <w:lvl w:ilvl="0" w:tplc="2DB024A2">
      <w:start w:val="2"/>
      <w:numFmt w:val="bullet"/>
      <w:lvlText w:val="-"/>
      <w:lvlJc w:val="left"/>
      <w:pPr>
        <w:ind w:left="1065"/>
      </w:pPr>
      <w:rPr>
        <w:rFonts w:ascii="Calibri" w:eastAsiaTheme="minorHAnsi" w:hAnsi="Calibri" w:cstheme="minorBidi" w:hint="default"/>
        <w:b w:val="0"/>
        <w:i w:val="0"/>
        <w:strike w:val="0"/>
        <w:dstrike w:val="0"/>
        <w:color w:val="000000"/>
        <w:sz w:val="24"/>
        <w:szCs w:val="24"/>
        <w:u w:val="none" w:color="000000"/>
        <w:bdr w:val="none" w:sz="0" w:space="0" w:color="auto"/>
        <w:shd w:val="clear" w:color="auto" w:fill="auto"/>
        <w:vertAlign w:val="baseline"/>
      </w:rPr>
    </w:lvl>
    <w:lvl w:ilvl="1" w:tplc="2DB024A2">
      <w:start w:val="2"/>
      <w:numFmt w:val="bullet"/>
      <w:lvlText w:val="-"/>
      <w:lvlJc w:val="left"/>
      <w:pPr>
        <w:ind w:left="1800"/>
      </w:pPr>
      <w:rPr>
        <w:rFonts w:ascii="Calibri" w:eastAsiaTheme="minorHAnsi" w:hAnsi="Calibri" w:cstheme="minorBidi" w:hint="default"/>
        <w:b w:val="0"/>
        <w:i w:val="0"/>
        <w:strike w:val="0"/>
        <w:dstrike w:val="0"/>
        <w:color w:val="000000"/>
        <w:sz w:val="24"/>
        <w:szCs w:val="24"/>
        <w:u w:val="none" w:color="000000"/>
        <w:bdr w:val="none" w:sz="0" w:space="0" w:color="auto"/>
        <w:shd w:val="clear" w:color="auto" w:fill="auto"/>
        <w:vertAlign w:val="baseline"/>
      </w:rPr>
    </w:lvl>
    <w:lvl w:ilvl="2" w:tplc="57CEE5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E47A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E432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243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C35D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695F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A1F4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E72225"/>
    <w:multiLevelType w:val="hybridMultilevel"/>
    <w:tmpl w:val="A27E4332"/>
    <w:lvl w:ilvl="0" w:tplc="B612823E">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488E3FCC"/>
    <w:multiLevelType w:val="hybridMultilevel"/>
    <w:tmpl w:val="7E723B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E40229F"/>
    <w:multiLevelType w:val="hybridMultilevel"/>
    <w:tmpl w:val="B248F6B8"/>
    <w:lvl w:ilvl="0" w:tplc="B612823E">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024A2">
      <w:start w:val="2"/>
      <w:numFmt w:val="bullet"/>
      <w:lvlText w:val="-"/>
      <w:lvlJc w:val="left"/>
      <w:pPr>
        <w:ind w:left="1800"/>
      </w:pPr>
      <w:rPr>
        <w:rFonts w:ascii="Calibri" w:eastAsiaTheme="minorHAnsi" w:hAnsi="Calibri" w:cstheme="minorBidi" w:hint="default"/>
        <w:b w:val="0"/>
        <w:i w:val="0"/>
        <w:strike w:val="0"/>
        <w:dstrike w:val="0"/>
        <w:color w:val="000000"/>
        <w:sz w:val="24"/>
        <w:szCs w:val="24"/>
        <w:u w:val="none" w:color="000000"/>
        <w:bdr w:val="none" w:sz="0" w:space="0" w:color="auto"/>
        <w:shd w:val="clear" w:color="auto" w:fill="auto"/>
        <w:vertAlign w:val="baseline"/>
      </w:rPr>
    </w:lvl>
    <w:lvl w:ilvl="2" w:tplc="57CEE5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E47A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E432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243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C35D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695F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A1F4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9C5DBC"/>
    <w:multiLevelType w:val="hybridMultilevel"/>
    <w:tmpl w:val="899EDDF6"/>
    <w:lvl w:ilvl="0" w:tplc="B612823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2E84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EE5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E47A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E432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243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C35D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695F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A1F4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5C22D1"/>
    <w:multiLevelType w:val="hybridMultilevel"/>
    <w:tmpl w:val="D0B2C7DE"/>
    <w:lvl w:ilvl="0" w:tplc="1408E376">
      <w:start w:val="1"/>
      <w:numFmt w:val="bullet"/>
      <w:lvlText w:val="•"/>
      <w:lvlJc w:val="left"/>
      <w:pPr>
        <w:ind w:left="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552A3E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58EBAEA">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2C941A">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EFCA198">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132820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243318">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3D4E97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DBC570A">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8C"/>
    <w:rsid w:val="00024EC0"/>
    <w:rsid w:val="000B0B50"/>
    <w:rsid w:val="000B31CD"/>
    <w:rsid w:val="00105425"/>
    <w:rsid w:val="00113F0F"/>
    <w:rsid w:val="001172D5"/>
    <w:rsid w:val="001317C8"/>
    <w:rsid w:val="001348F2"/>
    <w:rsid w:val="001567C5"/>
    <w:rsid w:val="0016227F"/>
    <w:rsid w:val="001636F9"/>
    <w:rsid w:val="00165767"/>
    <w:rsid w:val="00185F08"/>
    <w:rsid w:val="001D3DF1"/>
    <w:rsid w:val="001E724C"/>
    <w:rsid w:val="00223A3E"/>
    <w:rsid w:val="002316F2"/>
    <w:rsid w:val="002459C6"/>
    <w:rsid w:val="00254E73"/>
    <w:rsid w:val="002679D5"/>
    <w:rsid w:val="00285E24"/>
    <w:rsid w:val="003024EB"/>
    <w:rsid w:val="003122EC"/>
    <w:rsid w:val="00351CBA"/>
    <w:rsid w:val="00365E44"/>
    <w:rsid w:val="00375E2C"/>
    <w:rsid w:val="00387DBF"/>
    <w:rsid w:val="003C6B86"/>
    <w:rsid w:val="003F4537"/>
    <w:rsid w:val="003F5ECF"/>
    <w:rsid w:val="00405E01"/>
    <w:rsid w:val="00415991"/>
    <w:rsid w:val="00456DC7"/>
    <w:rsid w:val="00490F27"/>
    <w:rsid w:val="004D0959"/>
    <w:rsid w:val="004E0CEA"/>
    <w:rsid w:val="00543B43"/>
    <w:rsid w:val="00577B4E"/>
    <w:rsid w:val="005C74A5"/>
    <w:rsid w:val="005D4621"/>
    <w:rsid w:val="005F07F9"/>
    <w:rsid w:val="00625078"/>
    <w:rsid w:val="006507C7"/>
    <w:rsid w:val="006B3E55"/>
    <w:rsid w:val="00700FAB"/>
    <w:rsid w:val="00722A9E"/>
    <w:rsid w:val="007251A7"/>
    <w:rsid w:val="00736844"/>
    <w:rsid w:val="00761F53"/>
    <w:rsid w:val="00762A31"/>
    <w:rsid w:val="007B54B1"/>
    <w:rsid w:val="007C0519"/>
    <w:rsid w:val="007C52FC"/>
    <w:rsid w:val="007D1157"/>
    <w:rsid w:val="00812343"/>
    <w:rsid w:val="00812827"/>
    <w:rsid w:val="008514D9"/>
    <w:rsid w:val="00860E97"/>
    <w:rsid w:val="00862021"/>
    <w:rsid w:val="00884070"/>
    <w:rsid w:val="00894428"/>
    <w:rsid w:val="008D1F62"/>
    <w:rsid w:val="008E6F38"/>
    <w:rsid w:val="00950816"/>
    <w:rsid w:val="00954135"/>
    <w:rsid w:val="00961E70"/>
    <w:rsid w:val="00971E4E"/>
    <w:rsid w:val="00975B19"/>
    <w:rsid w:val="00977F67"/>
    <w:rsid w:val="009A4BB3"/>
    <w:rsid w:val="009B34D5"/>
    <w:rsid w:val="009C64AA"/>
    <w:rsid w:val="009E0D85"/>
    <w:rsid w:val="009E3CCB"/>
    <w:rsid w:val="009F22BC"/>
    <w:rsid w:val="00A70C95"/>
    <w:rsid w:val="00A85B7B"/>
    <w:rsid w:val="00A93A07"/>
    <w:rsid w:val="00A94EDD"/>
    <w:rsid w:val="00A95471"/>
    <w:rsid w:val="00AB0B72"/>
    <w:rsid w:val="00AD01B1"/>
    <w:rsid w:val="00AD46A8"/>
    <w:rsid w:val="00AE23A1"/>
    <w:rsid w:val="00AE2981"/>
    <w:rsid w:val="00B115B1"/>
    <w:rsid w:val="00B442F6"/>
    <w:rsid w:val="00B47123"/>
    <w:rsid w:val="00B66960"/>
    <w:rsid w:val="00B803EC"/>
    <w:rsid w:val="00B84E22"/>
    <w:rsid w:val="00BC6DDE"/>
    <w:rsid w:val="00C10AB0"/>
    <w:rsid w:val="00C14C91"/>
    <w:rsid w:val="00C23BA0"/>
    <w:rsid w:val="00C3431F"/>
    <w:rsid w:val="00C427BB"/>
    <w:rsid w:val="00C46962"/>
    <w:rsid w:val="00C7058A"/>
    <w:rsid w:val="00C7384A"/>
    <w:rsid w:val="00C7592B"/>
    <w:rsid w:val="00CE273A"/>
    <w:rsid w:val="00CE417B"/>
    <w:rsid w:val="00D45590"/>
    <w:rsid w:val="00D46E43"/>
    <w:rsid w:val="00DA4444"/>
    <w:rsid w:val="00DC0410"/>
    <w:rsid w:val="00DE1A1C"/>
    <w:rsid w:val="00E01D22"/>
    <w:rsid w:val="00E37B70"/>
    <w:rsid w:val="00E42BA9"/>
    <w:rsid w:val="00E57D17"/>
    <w:rsid w:val="00E6777C"/>
    <w:rsid w:val="00E74F01"/>
    <w:rsid w:val="00E8418C"/>
    <w:rsid w:val="00EC124C"/>
    <w:rsid w:val="00EE4131"/>
    <w:rsid w:val="00F1650F"/>
    <w:rsid w:val="00F21944"/>
    <w:rsid w:val="00F52D31"/>
    <w:rsid w:val="00F84779"/>
    <w:rsid w:val="00FA44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7BDE"/>
  <w15:chartTrackingRefBased/>
  <w15:docId w15:val="{27D578EA-EFB4-4223-B02F-064D739B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18C"/>
    <w:pPr>
      <w:spacing w:after="5" w:line="250" w:lineRule="auto"/>
      <w:ind w:left="370" w:hanging="370"/>
      <w:jc w:val="both"/>
    </w:pPr>
    <w:rPr>
      <w:rFonts w:ascii="Arial" w:eastAsia="Arial" w:hAnsi="Arial" w:cs="Arial"/>
      <w:color w:val="000000"/>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418C"/>
    <w:pPr>
      <w:ind w:left="720"/>
      <w:contextualSpacing/>
    </w:pPr>
  </w:style>
  <w:style w:type="paragraph" w:styleId="En-tte">
    <w:name w:val="header"/>
    <w:basedOn w:val="Normal"/>
    <w:link w:val="En-tteCar"/>
    <w:uiPriority w:val="99"/>
    <w:unhideWhenUsed/>
    <w:rsid w:val="007B54B1"/>
    <w:pPr>
      <w:tabs>
        <w:tab w:val="center" w:pos="4320"/>
        <w:tab w:val="right" w:pos="8640"/>
      </w:tabs>
      <w:spacing w:after="0" w:line="240" w:lineRule="auto"/>
    </w:pPr>
  </w:style>
  <w:style w:type="character" w:customStyle="1" w:styleId="En-tteCar">
    <w:name w:val="En-tête Car"/>
    <w:basedOn w:val="Policepardfaut"/>
    <w:link w:val="En-tte"/>
    <w:uiPriority w:val="99"/>
    <w:rsid w:val="007B54B1"/>
    <w:rPr>
      <w:rFonts w:ascii="Arial" w:eastAsia="Arial" w:hAnsi="Arial" w:cs="Arial"/>
      <w:color w:val="000000"/>
      <w:sz w:val="24"/>
      <w:lang w:eastAsia="fr-CA"/>
    </w:rPr>
  </w:style>
  <w:style w:type="paragraph" w:styleId="Pieddepage">
    <w:name w:val="footer"/>
    <w:basedOn w:val="Normal"/>
    <w:link w:val="PieddepageCar"/>
    <w:uiPriority w:val="99"/>
    <w:unhideWhenUsed/>
    <w:rsid w:val="007B54B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B54B1"/>
    <w:rPr>
      <w:rFonts w:ascii="Arial" w:eastAsia="Arial" w:hAnsi="Arial" w:cs="Arial"/>
      <w:color w:val="000000"/>
      <w:sz w:val="24"/>
      <w:lang w:eastAsia="fr-CA"/>
    </w:rPr>
  </w:style>
  <w:style w:type="paragraph" w:styleId="Sansinterligne">
    <w:name w:val="No Spacing"/>
    <w:link w:val="SansinterligneCar"/>
    <w:uiPriority w:val="1"/>
    <w:qFormat/>
    <w:rsid w:val="00C7384A"/>
    <w:pPr>
      <w:spacing w:after="0" w:line="240" w:lineRule="auto"/>
    </w:pPr>
    <w:rPr>
      <w:color w:val="404040" w:themeColor="text1" w:themeTint="BF"/>
      <w:sz w:val="18"/>
      <w:szCs w:val="20"/>
      <w:lang w:val="fr-FR" w:eastAsia="fr-FR"/>
    </w:rPr>
  </w:style>
  <w:style w:type="character" w:customStyle="1" w:styleId="SansinterligneCar">
    <w:name w:val="Sans interligne Car"/>
    <w:basedOn w:val="Policepardfaut"/>
    <w:link w:val="Sansinterligne"/>
    <w:uiPriority w:val="1"/>
    <w:rsid w:val="00C7384A"/>
    <w:rPr>
      <w:color w:val="404040" w:themeColor="text1" w:themeTint="BF"/>
      <w:sz w:val="18"/>
      <w:szCs w:val="20"/>
      <w:lang w:val="fr-FR" w:eastAsia="fr-FR"/>
    </w:rPr>
  </w:style>
  <w:style w:type="paragraph" w:styleId="Commentaire">
    <w:name w:val="annotation text"/>
    <w:basedOn w:val="Normal"/>
    <w:link w:val="CommentaireCar"/>
    <w:uiPriority w:val="99"/>
    <w:unhideWhenUsed/>
    <w:rsid w:val="00C46962"/>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aireCar">
    <w:name w:val="Commentaire Car"/>
    <w:basedOn w:val="Policepardfaut"/>
    <w:link w:val="Commentaire"/>
    <w:uiPriority w:val="99"/>
    <w:rsid w:val="00C469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B877-B5A3-4B2C-9B75-D0C209C1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FIQ</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Lachance</dc:creator>
  <cp:keywords/>
  <dc:description/>
  <cp:lastModifiedBy>Utilisateur</cp:lastModifiedBy>
  <cp:revision>22</cp:revision>
  <cp:lastPrinted>2016-04-19T13:29:00Z</cp:lastPrinted>
  <dcterms:created xsi:type="dcterms:W3CDTF">2016-04-19T13:28:00Z</dcterms:created>
  <dcterms:modified xsi:type="dcterms:W3CDTF">2017-10-20T13:54:00Z</dcterms:modified>
</cp:coreProperties>
</file>